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329" w:rsidRDefault="00DF7329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Décret n° 2-05-1474 du 22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chaoual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1426 (25 novembre 2005) modifiant et complétant le décret n° 2-76-266 du 17 (Bulletin Officiel n° 5374 du Jeudi 1 Décembre 2005)</w:t>
      </w:r>
    </w:p>
    <w:p w:rsidR="00A37012" w:rsidRDefault="00DF7329">
      <w:r>
        <w:rPr>
          <w:rFonts w:ascii="Arial" w:hAnsi="Arial" w:cs="Arial"/>
          <w:color w:val="000000"/>
        </w:rPr>
        <w:br/>
      </w:r>
      <w:proofErr w:type="spellStart"/>
      <w:proofErr w:type="gramStart"/>
      <w:r>
        <w:rPr>
          <w:rFonts w:ascii="Arial" w:hAnsi="Arial" w:cs="Arial"/>
          <w:color w:val="000000"/>
          <w:shd w:val="clear" w:color="auto" w:fill="FFFFFF"/>
        </w:rPr>
        <w:t>joumada</w:t>
      </w:r>
      <w:proofErr w:type="spellEnd"/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 I 1397 (6 mai 1977) relatif à l'agrément à l'autorisation de débit des spécialités pharmaceutiques et à la publicité des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médicaments spécialisés à l'officine et des spécialités pharmaceutiques.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Le premier ministre,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Vu le décret n° 2-76-266 du 17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joumada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I 1397 (6 mai 1977) relatif à l'agrément à l'autorisation de débit des spécialités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pharmaceutiques et à la publicité des médicaments spécialisés à l'officine et des spécialités pharmaceutiques, notamment ses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articles 3, 7 et 8 ;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Après examen par le conseil des ministres réuni le 20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chaoual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1426 (23 novembre 2005),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Décrète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Article Premier : L'article 3 du décret susvisé n° 2-76-266 du 17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joumada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I 1397 (6 mai 1977) est complété comme suit 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Article 3. - Dans le cas..........................................et cliniques.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Lorsqu'un premier agrément est octroyé au Maroc pour une spécialité pharmaceutique comportant une nouvelle entité à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structure chimique définie, autre que les excipients, colorants, correcteurs de goût, stabilisants, tampons et conservateurs,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un tiers ne peut demander un agrément pour un produit et faire référence, sans le consentement du titulaire du premier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agrément, aux données fournies par ce titulaire et ayant permis d'établir l'innocuité et l'efficacité de ladite spécialité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pharmaceutique et ce, pour une durée de 5 ans à partir de la date d'obtention de l'agrément initial au Maroc.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L'agrément octroyé au tiers doit indiquer la durée maximum autorisée pour son exploitation. "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Article 2 : Les articles 7 et 8 du décret n° 2-76-266 précité sont abrogés et remplacés comme suit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:</w:t>
      </w:r>
      <w:proofErr w:type="gramEnd"/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Article 7 . - Le ministre de la santé se prononce dans un délai de 4 ans à compter de la date du dépôt par le requérant de la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demande et du dossier complet visés aux articles premier et 2 ci-dessus.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En cas de retard incombant à l'administration, le ministre de la santé délivre au requérant une attestation, mentionnant le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nombre de jours écoulés entre la date d'expiration du délai de 4 ans visé au 1er alinéa du présent article et la date effective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d'octroi de l'agrément. "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Article 8. - Le ministre de la santé peut demander au requérant des informations ou des investigations complémentaires. Dans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ce cas, le délai prévu à l'article 7 ci-dessus est suspendu jusqu'à la date de production des données par le requérant. La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décision d'octroi ou de refus de l'agrément est prononcée par le ministre de la santé après avis de la commission visée à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l'article 6 ci-dessus. "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Article 3 : Le ministre de la santé est chargé de l'exécution du présent décret qui sera publié </w:t>
      </w:r>
      <w:r>
        <w:rPr>
          <w:rFonts w:ascii="Arial" w:hAnsi="Arial" w:cs="Arial"/>
          <w:color w:val="000000"/>
          <w:shd w:val="clear" w:color="auto" w:fill="FFFFFF"/>
        </w:rPr>
        <w:lastRenderedPageBreak/>
        <w:t>au Bulletin officiel.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Fait à Rabat, le 22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chaoual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1426 (25 novembre 2005).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Driss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Jettou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Pour contreseing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:</w:t>
      </w:r>
      <w:proofErr w:type="gramEnd"/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Le ministre de la santé,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Mohamed Cheikh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Bia</w:t>
      </w:r>
      <w:proofErr w:type="spellEnd"/>
      <w:r>
        <w:rPr>
          <w:rFonts w:ascii="Arial" w:hAnsi="Arial" w:cs="Arial"/>
          <w:color w:val="000000"/>
        </w:rPr>
        <w:br/>
      </w:r>
    </w:p>
    <w:sectPr w:rsidR="00A37012" w:rsidSect="008D4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F7329"/>
    <w:rsid w:val="0003491B"/>
    <w:rsid w:val="00056DE8"/>
    <w:rsid w:val="00213553"/>
    <w:rsid w:val="004848BE"/>
    <w:rsid w:val="008D497B"/>
    <w:rsid w:val="00DB4A64"/>
    <w:rsid w:val="00DF7329"/>
    <w:rsid w:val="00F82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A6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DB4A6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DB4A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ansinterligne">
    <w:name w:val="No Spacing"/>
    <w:uiPriority w:val="1"/>
    <w:qFormat/>
    <w:rsid w:val="00DB4A6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2421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2016-06-04T13:54:00Z</dcterms:created>
  <dcterms:modified xsi:type="dcterms:W3CDTF">2016-06-04T13:54:00Z</dcterms:modified>
</cp:coreProperties>
</file>